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423E09" w14:textId="43FEDD12" w:rsidR="00523A72" w:rsidRPr="00DD2EE5" w:rsidRDefault="003158A9" w:rsidP="003158A9">
      <w:pPr>
        <w:jc w:val="center"/>
        <w:rPr>
          <w:b/>
          <w:bCs/>
          <w:sz w:val="28"/>
          <w:szCs w:val="28"/>
        </w:rPr>
      </w:pPr>
      <w:bookmarkStart w:id="0" w:name="_Hlk131154441"/>
      <w:bookmarkEnd w:id="0"/>
      <w:r w:rsidRPr="00DD2EE5">
        <w:rPr>
          <w:b/>
          <w:bCs/>
          <w:sz w:val="28"/>
          <w:szCs w:val="28"/>
        </w:rPr>
        <w:t>OREI Report</w:t>
      </w:r>
    </w:p>
    <w:p w14:paraId="2373C4BF" w14:textId="38BEB22F" w:rsidR="003158A9" w:rsidRDefault="00AE604B">
      <w:r w:rsidRPr="008B0874">
        <w:rPr>
          <w:rFonts w:ascii="Times New Roman" w:hAnsi="Times New Roman" w:cs="Times New Roman"/>
          <w:b/>
          <w:i/>
          <w:iCs/>
          <w:noProof/>
        </w:rPr>
        <mc:AlternateContent>
          <mc:Choice Requires="wps">
            <w:drawing>
              <wp:anchor distT="45720" distB="45720" distL="114300" distR="114300" simplePos="0" relativeHeight="251665408" behindDoc="0" locked="0" layoutInCell="1" allowOverlap="1" wp14:anchorId="283E1543" wp14:editId="2814CF2E">
                <wp:simplePos x="0" y="0"/>
                <wp:positionH relativeFrom="column">
                  <wp:posOffset>3636939</wp:posOffset>
                </wp:positionH>
                <wp:positionV relativeFrom="paragraph">
                  <wp:posOffset>5228344</wp:posOffset>
                </wp:positionV>
                <wp:extent cx="2142490" cy="2435860"/>
                <wp:effectExtent l="0" t="0" r="10160" b="2159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2490" cy="2435860"/>
                        </a:xfrm>
                        <a:prstGeom prst="rect">
                          <a:avLst/>
                        </a:prstGeom>
                        <a:solidFill>
                          <a:srgbClr val="FFFFFF"/>
                        </a:solidFill>
                        <a:ln w="9525">
                          <a:solidFill>
                            <a:srgbClr val="000000"/>
                          </a:solidFill>
                          <a:miter lim="800000"/>
                          <a:headEnd/>
                          <a:tailEnd/>
                        </a:ln>
                      </wps:spPr>
                      <wps:txbx>
                        <w:txbxContent>
                          <w:p w14:paraId="0B8AFBBE" w14:textId="7E613C00" w:rsidR="00AE604B" w:rsidRDefault="00AE604B" w:rsidP="00AE604B">
                            <w:r>
                              <w:rPr>
                                <w:rFonts w:ascii="Times New Roman" w:hAnsi="Times New Roman" w:cs="Times New Roman"/>
                                <w:noProof/>
                              </w:rPr>
                              <w:drawing>
                                <wp:inline distT="0" distB="0" distL="0" distR="0" wp14:anchorId="0BE20208" wp14:editId="2B043C6F">
                                  <wp:extent cx="1944806" cy="194480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957026" cy="1957026"/>
                                          </a:xfrm>
                                          <a:prstGeom prst="rect">
                                            <a:avLst/>
                                          </a:prstGeom>
                                          <a:noFill/>
                                          <a:ln>
                                            <a:noFill/>
                                          </a:ln>
                                        </pic:spPr>
                                      </pic:pic>
                                    </a:graphicData>
                                  </a:graphic>
                                </wp:inline>
                              </w:drawing>
                            </w:r>
                            <w:r w:rsidRPr="00C108DD">
                              <w:rPr>
                                <w:rFonts w:ascii="Times New Roman" w:hAnsi="Times New Roman" w:cs="Times New Roman"/>
                                <w:b/>
                                <w:bCs/>
                                <w:sz w:val="16"/>
                                <w:szCs w:val="16"/>
                              </w:rPr>
                              <w:t xml:space="preserve">Figure </w:t>
                            </w:r>
                            <w:r w:rsidRPr="00AE604B">
                              <w:rPr>
                                <w:rFonts w:ascii="Times New Roman" w:hAnsi="Times New Roman" w:cs="Times New Roman"/>
                                <w:b/>
                                <w:bCs/>
                                <w:sz w:val="16"/>
                                <w:szCs w:val="16"/>
                              </w:rPr>
                              <w:t>3</w:t>
                            </w:r>
                            <w:r w:rsidRPr="00C108DD">
                              <w:rPr>
                                <w:rFonts w:ascii="Times New Roman" w:hAnsi="Times New Roman" w:cs="Times New Roman"/>
                                <w:sz w:val="16"/>
                                <w:szCs w:val="16"/>
                              </w:rPr>
                              <w:t xml:space="preserve">. </w:t>
                            </w:r>
                            <w:r>
                              <w:rPr>
                                <w:rFonts w:ascii="Times New Roman" w:hAnsi="Times New Roman" w:cs="Times New Roman"/>
                                <w:sz w:val="16"/>
                                <w:szCs w:val="16"/>
                              </w:rPr>
                              <w:t>Partial dependence plot showing the relationship between udder clipping/flaming and log</w:t>
                            </w:r>
                            <w:r w:rsidRPr="00AE604B">
                              <w:rPr>
                                <w:rFonts w:ascii="Times New Roman" w:hAnsi="Times New Roman" w:cs="Times New Roman"/>
                                <w:sz w:val="16"/>
                                <w:szCs w:val="16"/>
                                <w:vertAlign w:val="subscript"/>
                              </w:rPr>
                              <w:t>10</w:t>
                            </w:r>
                            <w:r>
                              <w:rPr>
                                <w:rFonts w:ascii="Times New Roman" w:hAnsi="Times New Roman" w:cs="Times New Roman"/>
                                <w:sz w:val="16"/>
                                <w:szCs w:val="16"/>
                              </w:rPr>
                              <w:t xml:space="preserve">MSC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3E1543" id="_x0000_t202" coordsize="21600,21600" o:spt="202" path="m,l,21600r21600,l21600,xe">
                <v:stroke joinstyle="miter"/>
                <v:path gradientshapeok="t" o:connecttype="rect"/>
              </v:shapetype>
              <v:shape id="Text Box 2" o:spid="_x0000_s1026" type="#_x0000_t202" style="position:absolute;margin-left:286.35pt;margin-top:411.7pt;width:168.7pt;height:191.8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">
                <v:textbox>
                  <w:txbxContent>
                    <w:p w14:paraId="0B8AFBBE" w14:textId="7E613C00" w:rsidR="00AE604B" w:rsidRDefault="00AE604B" w:rsidP="00AE604B">
                      <w:r>
                        <w:rPr>
                          <w:rFonts w:ascii="Times New Roman" w:hAnsi="Times New Roman" w:cs="Times New Roman"/>
                          <w:noProof/>
                        </w:rPr>
                        <w:drawing>
                          <wp:inline distT="0" distB="0" distL="0" distR="0" wp14:anchorId="0BE20208" wp14:editId="2B043C6F">
                            <wp:extent cx="1944806" cy="194480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957026" cy="1957026"/>
                                    </a:xfrm>
                                    <a:prstGeom prst="rect">
                                      <a:avLst/>
                                    </a:prstGeom>
                                    <a:noFill/>
                                    <a:ln>
                                      <a:noFill/>
                                    </a:ln>
                                  </pic:spPr>
                                </pic:pic>
                              </a:graphicData>
                            </a:graphic>
                          </wp:inline>
                        </w:drawing>
                      </w:r>
                      <w:r w:rsidRPr="00C108DD">
                        <w:rPr>
                          <w:rFonts w:ascii="Times New Roman" w:hAnsi="Times New Roman" w:cs="Times New Roman"/>
                          <w:b/>
                          <w:bCs/>
                          <w:sz w:val="16"/>
                          <w:szCs w:val="16"/>
                        </w:rPr>
                        <w:t xml:space="preserve">Figure </w:t>
                      </w:r>
                      <w:r w:rsidRPr="00AE604B">
                        <w:rPr>
                          <w:rFonts w:ascii="Times New Roman" w:hAnsi="Times New Roman" w:cs="Times New Roman"/>
                          <w:b/>
                          <w:bCs/>
                          <w:sz w:val="16"/>
                          <w:szCs w:val="16"/>
                        </w:rPr>
                        <w:t>3</w:t>
                      </w:r>
                      <w:r w:rsidRPr="00C108DD">
                        <w:rPr>
                          <w:rFonts w:ascii="Times New Roman" w:hAnsi="Times New Roman" w:cs="Times New Roman"/>
                          <w:sz w:val="16"/>
                          <w:szCs w:val="16"/>
                        </w:rPr>
                        <w:t xml:space="preserve">. </w:t>
                      </w:r>
                      <w:r>
                        <w:rPr>
                          <w:rFonts w:ascii="Times New Roman" w:hAnsi="Times New Roman" w:cs="Times New Roman"/>
                          <w:sz w:val="16"/>
                          <w:szCs w:val="16"/>
                        </w:rPr>
                        <w:t>Partial dependence plot showing the relationship between udder clipping/flaming and log</w:t>
                      </w:r>
                      <w:r w:rsidRPr="00AE604B">
                        <w:rPr>
                          <w:rFonts w:ascii="Times New Roman" w:hAnsi="Times New Roman" w:cs="Times New Roman"/>
                          <w:sz w:val="16"/>
                          <w:szCs w:val="16"/>
                          <w:vertAlign w:val="subscript"/>
                        </w:rPr>
                        <w:t>10</w:t>
                      </w:r>
                      <w:r>
                        <w:rPr>
                          <w:rFonts w:ascii="Times New Roman" w:hAnsi="Times New Roman" w:cs="Times New Roman"/>
                          <w:sz w:val="16"/>
                          <w:szCs w:val="16"/>
                        </w:rPr>
                        <w:t xml:space="preserve">MSC </w:t>
                      </w:r>
                    </w:p>
                  </w:txbxContent>
                </v:textbox>
                <w10:wrap type="square"/>
              </v:shape>
            </w:pict>
          </mc:Fallback>
        </mc:AlternateContent>
      </w:r>
      <w:r w:rsidR="00C108DD" w:rsidRPr="008B0874">
        <w:rPr>
          <w:rFonts w:ascii="Times New Roman" w:hAnsi="Times New Roman" w:cs="Times New Roman"/>
          <w:b/>
          <w:i/>
          <w:iCs/>
          <w:noProof/>
        </w:rPr>
        <mc:AlternateContent>
          <mc:Choice Requires="wps">
            <w:drawing>
              <wp:anchor distT="45720" distB="45720" distL="114300" distR="114300" simplePos="0" relativeHeight="251661312" behindDoc="0" locked="0" layoutInCell="1" allowOverlap="1" wp14:anchorId="09AB2D6B" wp14:editId="1D98E77E">
                <wp:simplePos x="0" y="0"/>
                <wp:positionH relativeFrom="column">
                  <wp:posOffset>2400935</wp:posOffset>
                </wp:positionH>
                <wp:positionV relativeFrom="paragraph">
                  <wp:posOffset>143936</wp:posOffset>
                </wp:positionV>
                <wp:extent cx="3521075" cy="2401570"/>
                <wp:effectExtent l="0" t="0" r="22225" b="177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1075" cy="2401570"/>
                        </a:xfrm>
                        <a:prstGeom prst="rect">
                          <a:avLst/>
                        </a:prstGeom>
                        <a:solidFill>
                          <a:srgbClr val="FFFFFF"/>
                        </a:solidFill>
                        <a:ln w="9525">
                          <a:solidFill>
                            <a:srgbClr val="000000"/>
                          </a:solidFill>
                          <a:miter lim="800000"/>
                          <a:headEnd/>
                          <a:tailEnd/>
                        </a:ln>
                      </wps:spPr>
                      <wps:txbx>
                        <w:txbxContent>
                          <w:p w14:paraId="7DB0AD74" w14:textId="6B9F3557" w:rsidR="00C108DD" w:rsidRDefault="00C108DD" w:rsidP="00C108DD">
                            <w:bookmarkStart w:id="1" w:name="_Hlk131165400"/>
                            <w:bookmarkEnd w:id="1"/>
                            <w:r w:rsidRPr="004A6B18">
                              <w:rPr>
                                <w:rFonts w:ascii="Times New Roman" w:hAnsi="Times New Roman" w:cs="Times New Roman"/>
                                <w:noProof/>
                              </w:rPr>
                              <w:drawing>
                                <wp:inline distT="0" distB="0" distL="0" distR="0" wp14:anchorId="37049842" wp14:editId="6AEA43BD">
                                  <wp:extent cx="3473356" cy="1734080"/>
                                  <wp:effectExtent l="0" t="0" r="0" b="0"/>
                                  <wp:docPr id="4"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histogram&#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480463" cy="1737628"/>
                                          </a:xfrm>
                                          <a:prstGeom prst="rect">
                                            <a:avLst/>
                                          </a:prstGeom>
                                          <a:noFill/>
                                          <a:ln>
                                            <a:noFill/>
                                          </a:ln>
                                        </pic:spPr>
                                      </pic:pic>
                                    </a:graphicData>
                                  </a:graphic>
                                </wp:inline>
                              </w:drawing>
                            </w:r>
                          </w:p>
                          <w:p w14:paraId="70B52E08" w14:textId="77777777" w:rsidR="00C108DD" w:rsidRPr="00C108DD" w:rsidRDefault="00C108DD" w:rsidP="00C108DD">
                            <w:pPr>
                              <w:pStyle w:val="Caption"/>
                              <w:rPr>
                                <w:rFonts w:ascii="Times New Roman" w:hAnsi="Times New Roman" w:cs="Times New Roman"/>
                                <w:i w:val="0"/>
                                <w:iCs w:val="0"/>
                                <w:color w:val="auto"/>
                                <w:sz w:val="16"/>
                                <w:szCs w:val="16"/>
                              </w:rPr>
                            </w:pPr>
                            <w:r w:rsidRPr="00C108DD">
                              <w:rPr>
                                <w:rFonts w:ascii="Times New Roman" w:hAnsi="Times New Roman" w:cs="Times New Roman"/>
                                <w:b/>
                                <w:bCs/>
                                <w:i w:val="0"/>
                                <w:iCs w:val="0"/>
                                <w:color w:val="auto"/>
                                <w:sz w:val="16"/>
                                <w:szCs w:val="16"/>
                              </w:rPr>
                              <w:t xml:space="preserve">Figure </w:t>
                            </w:r>
                            <w:r w:rsidRPr="00C108DD">
                              <w:rPr>
                                <w:rFonts w:ascii="Times New Roman" w:hAnsi="Times New Roman" w:cs="Times New Roman"/>
                                <w:i w:val="0"/>
                                <w:iCs w:val="0"/>
                                <w:color w:val="auto"/>
                                <w:sz w:val="16"/>
                                <w:szCs w:val="16"/>
                              </w:rPr>
                              <w:fldChar w:fldCharType="begin"/>
                            </w:r>
                            <w:r w:rsidRPr="00C108DD">
                              <w:rPr>
                                <w:rFonts w:ascii="Times New Roman" w:hAnsi="Times New Roman" w:cs="Times New Roman"/>
                                <w:i w:val="0"/>
                                <w:iCs w:val="0"/>
                                <w:color w:val="auto"/>
                                <w:sz w:val="16"/>
                                <w:szCs w:val="16"/>
                              </w:rPr>
                              <w:instrText xml:space="preserve"> SEQ Figure \* ARABIC </w:instrText>
                            </w:r>
                            <w:r w:rsidRPr="00C108DD">
                              <w:rPr>
                                <w:rFonts w:ascii="Times New Roman" w:hAnsi="Times New Roman" w:cs="Times New Roman"/>
                                <w:i w:val="0"/>
                                <w:iCs w:val="0"/>
                                <w:color w:val="auto"/>
                                <w:sz w:val="16"/>
                                <w:szCs w:val="16"/>
                              </w:rPr>
                              <w:fldChar w:fldCharType="separate"/>
                            </w:r>
                            <w:r w:rsidRPr="00C108DD">
                              <w:rPr>
                                <w:rFonts w:ascii="Times New Roman" w:hAnsi="Times New Roman" w:cs="Times New Roman"/>
                                <w:i w:val="0"/>
                                <w:iCs w:val="0"/>
                                <w:noProof/>
                                <w:color w:val="auto"/>
                                <w:sz w:val="16"/>
                                <w:szCs w:val="16"/>
                              </w:rPr>
                              <w:t>1</w:t>
                            </w:r>
                            <w:r w:rsidRPr="00C108DD">
                              <w:rPr>
                                <w:rFonts w:ascii="Times New Roman" w:hAnsi="Times New Roman" w:cs="Times New Roman"/>
                                <w:i w:val="0"/>
                                <w:iCs w:val="0"/>
                                <w:color w:val="auto"/>
                                <w:sz w:val="16"/>
                                <w:szCs w:val="16"/>
                              </w:rPr>
                              <w:fldChar w:fldCharType="end"/>
                            </w:r>
                            <w:r w:rsidRPr="00C108DD">
                              <w:rPr>
                                <w:rFonts w:ascii="Times New Roman" w:hAnsi="Times New Roman" w:cs="Times New Roman"/>
                                <w:i w:val="0"/>
                                <w:iCs w:val="0"/>
                                <w:color w:val="auto"/>
                                <w:sz w:val="16"/>
                                <w:szCs w:val="16"/>
                              </w:rPr>
                              <w:t>. Spore concentration by test (expressed as log</w:t>
                            </w:r>
                            <w:r w:rsidRPr="00C108DD">
                              <w:rPr>
                                <w:rFonts w:ascii="Times New Roman" w:hAnsi="Times New Roman" w:cs="Times New Roman"/>
                                <w:i w:val="0"/>
                                <w:iCs w:val="0"/>
                                <w:color w:val="auto"/>
                                <w:sz w:val="16"/>
                                <w:szCs w:val="16"/>
                                <w:vertAlign w:val="subscript"/>
                              </w:rPr>
                              <w:t>10</w:t>
                            </w:r>
                            <w:r w:rsidRPr="00C108DD">
                              <w:rPr>
                                <w:rFonts w:ascii="Times New Roman" w:hAnsi="Times New Roman" w:cs="Times New Roman"/>
                                <w:i w:val="0"/>
                                <w:iCs w:val="0"/>
                                <w:color w:val="auto"/>
                                <w:sz w:val="16"/>
                                <w:szCs w:val="16"/>
                              </w:rPr>
                              <w:t xml:space="preserve"> CFU/mL for APC, MSC and TSC, and log</w:t>
                            </w:r>
                            <w:r w:rsidRPr="00C108DD">
                              <w:rPr>
                                <w:rFonts w:ascii="Times New Roman" w:hAnsi="Times New Roman" w:cs="Times New Roman"/>
                                <w:i w:val="0"/>
                                <w:iCs w:val="0"/>
                                <w:color w:val="auto"/>
                                <w:sz w:val="16"/>
                                <w:szCs w:val="16"/>
                                <w:vertAlign w:val="subscript"/>
                              </w:rPr>
                              <w:t>10</w:t>
                            </w:r>
                            <w:r w:rsidRPr="00C108DD">
                              <w:rPr>
                                <w:rFonts w:ascii="Times New Roman" w:hAnsi="Times New Roman" w:cs="Times New Roman"/>
                                <w:i w:val="0"/>
                                <w:iCs w:val="0"/>
                                <w:color w:val="auto"/>
                                <w:sz w:val="16"/>
                                <w:szCs w:val="16"/>
                              </w:rPr>
                              <w:t xml:space="preserve"> MPN/mL for PSC) summarized over all farms and sampling time points. The farthest left bin for MSC, TSC, and TSC represents the samples that have spore concentrations below detection limits. </w:t>
                            </w:r>
                          </w:p>
                          <w:p w14:paraId="55CE4B08" w14:textId="77777777" w:rsidR="00C108DD" w:rsidRDefault="00C108DD" w:rsidP="00C108D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AB2D6B" id="_x0000_s1027" type="#_x0000_t202" style="position:absolute;margin-left:189.05pt;margin-top:11.35pt;width:277.25pt;height:189.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">
                <v:textbox>
                  <w:txbxContent>
                    <w:p w14:paraId="7DB0AD74" w14:textId="6B9F3557" w:rsidR="00C108DD" w:rsidRDefault="00C108DD" w:rsidP="00C108DD">
                      <w:bookmarkStart w:id="2" w:name="_Hlk131165400"/>
                      <w:bookmarkEnd w:id="2"/>
                      <w:r w:rsidRPr="004A6B18">
                        <w:rPr>
                          <w:rFonts w:ascii="Times New Roman" w:hAnsi="Times New Roman" w:cs="Times New Roman"/>
                          <w:noProof/>
                        </w:rPr>
                        <w:drawing>
                          <wp:inline distT="0" distB="0" distL="0" distR="0" wp14:anchorId="37049842" wp14:editId="6AEA43BD">
                            <wp:extent cx="3473356" cy="1734080"/>
                            <wp:effectExtent l="0" t="0" r="0" b="0"/>
                            <wp:docPr id="4"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histogram&#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480463" cy="1737628"/>
                                    </a:xfrm>
                                    <a:prstGeom prst="rect">
                                      <a:avLst/>
                                    </a:prstGeom>
                                    <a:noFill/>
                                    <a:ln>
                                      <a:noFill/>
                                    </a:ln>
                                  </pic:spPr>
                                </pic:pic>
                              </a:graphicData>
                            </a:graphic>
                          </wp:inline>
                        </w:drawing>
                      </w:r>
                    </w:p>
                    <w:p w14:paraId="70B52E08" w14:textId="77777777" w:rsidR="00C108DD" w:rsidRPr="00C108DD" w:rsidRDefault="00C108DD" w:rsidP="00C108DD">
                      <w:pPr>
                        <w:pStyle w:val="Caption"/>
                        <w:rPr>
                          <w:rFonts w:ascii="Times New Roman" w:hAnsi="Times New Roman" w:cs="Times New Roman"/>
                          <w:i w:val="0"/>
                          <w:iCs w:val="0"/>
                          <w:color w:val="auto"/>
                          <w:sz w:val="16"/>
                          <w:szCs w:val="16"/>
                        </w:rPr>
                      </w:pPr>
                      <w:r w:rsidRPr="00C108DD">
                        <w:rPr>
                          <w:rFonts w:ascii="Times New Roman" w:hAnsi="Times New Roman" w:cs="Times New Roman"/>
                          <w:b/>
                          <w:bCs/>
                          <w:i w:val="0"/>
                          <w:iCs w:val="0"/>
                          <w:color w:val="auto"/>
                          <w:sz w:val="16"/>
                          <w:szCs w:val="16"/>
                        </w:rPr>
                        <w:t xml:space="preserve">Figure </w:t>
                      </w:r>
                      <w:r w:rsidRPr="00C108DD">
                        <w:rPr>
                          <w:rFonts w:ascii="Times New Roman" w:hAnsi="Times New Roman" w:cs="Times New Roman"/>
                          <w:i w:val="0"/>
                          <w:iCs w:val="0"/>
                          <w:color w:val="auto"/>
                          <w:sz w:val="16"/>
                          <w:szCs w:val="16"/>
                        </w:rPr>
                        <w:fldChar w:fldCharType="begin"/>
                      </w:r>
                      <w:r w:rsidRPr="00C108DD">
                        <w:rPr>
                          <w:rFonts w:ascii="Times New Roman" w:hAnsi="Times New Roman" w:cs="Times New Roman"/>
                          <w:i w:val="0"/>
                          <w:iCs w:val="0"/>
                          <w:color w:val="auto"/>
                          <w:sz w:val="16"/>
                          <w:szCs w:val="16"/>
                        </w:rPr>
                        <w:instrText xml:space="preserve"> SEQ Figure \* ARABIC </w:instrText>
                      </w:r>
                      <w:r w:rsidRPr="00C108DD">
                        <w:rPr>
                          <w:rFonts w:ascii="Times New Roman" w:hAnsi="Times New Roman" w:cs="Times New Roman"/>
                          <w:i w:val="0"/>
                          <w:iCs w:val="0"/>
                          <w:color w:val="auto"/>
                          <w:sz w:val="16"/>
                          <w:szCs w:val="16"/>
                        </w:rPr>
                        <w:fldChar w:fldCharType="separate"/>
                      </w:r>
                      <w:r w:rsidRPr="00C108DD">
                        <w:rPr>
                          <w:rFonts w:ascii="Times New Roman" w:hAnsi="Times New Roman" w:cs="Times New Roman"/>
                          <w:i w:val="0"/>
                          <w:iCs w:val="0"/>
                          <w:noProof/>
                          <w:color w:val="auto"/>
                          <w:sz w:val="16"/>
                          <w:szCs w:val="16"/>
                        </w:rPr>
                        <w:t>1</w:t>
                      </w:r>
                      <w:r w:rsidRPr="00C108DD">
                        <w:rPr>
                          <w:rFonts w:ascii="Times New Roman" w:hAnsi="Times New Roman" w:cs="Times New Roman"/>
                          <w:i w:val="0"/>
                          <w:iCs w:val="0"/>
                          <w:color w:val="auto"/>
                          <w:sz w:val="16"/>
                          <w:szCs w:val="16"/>
                        </w:rPr>
                        <w:fldChar w:fldCharType="end"/>
                      </w:r>
                      <w:r w:rsidRPr="00C108DD">
                        <w:rPr>
                          <w:rFonts w:ascii="Times New Roman" w:hAnsi="Times New Roman" w:cs="Times New Roman"/>
                          <w:i w:val="0"/>
                          <w:iCs w:val="0"/>
                          <w:color w:val="auto"/>
                          <w:sz w:val="16"/>
                          <w:szCs w:val="16"/>
                        </w:rPr>
                        <w:t>. Spore concentration by test (expressed as log</w:t>
                      </w:r>
                      <w:r w:rsidRPr="00C108DD">
                        <w:rPr>
                          <w:rFonts w:ascii="Times New Roman" w:hAnsi="Times New Roman" w:cs="Times New Roman"/>
                          <w:i w:val="0"/>
                          <w:iCs w:val="0"/>
                          <w:color w:val="auto"/>
                          <w:sz w:val="16"/>
                          <w:szCs w:val="16"/>
                          <w:vertAlign w:val="subscript"/>
                        </w:rPr>
                        <w:t>10</w:t>
                      </w:r>
                      <w:r w:rsidRPr="00C108DD">
                        <w:rPr>
                          <w:rFonts w:ascii="Times New Roman" w:hAnsi="Times New Roman" w:cs="Times New Roman"/>
                          <w:i w:val="0"/>
                          <w:iCs w:val="0"/>
                          <w:color w:val="auto"/>
                          <w:sz w:val="16"/>
                          <w:szCs w:val="16"/>
                        </w:rPr>
                        <w:t xml:space="preserve"> CFU/mL for APC, MSC and TSC, and log</w:t>
                      </w:r>
                      <w:r w:rsidRPr="00C108DD">
                        <w:rPr>
                          <w:rFonts w:ascii="Times New Roman" w:hAnsi="Times New Roman" w:cs="Times New Roman"/>
                          <w:i w:val="0"/>
                          <w:iCs w:val="0"/>
                          <w:color w:val="auto"/>
                          <w:sz w:val="16"/>
                          <w:szCs w:val="16"/>
                          <w:vertAlign w:val="subscript"/>
                        </w:rPr>
                        <w:t>10</w:t>
                      </w:r>
                      <w:r w:rsidRPr="00C108DD">
                        <w:rPr>
                          <w:rFonts w:ascii="Times New Roman" w:hAnsi="Times New Roman" w:cs="Times New Roman"/>
                          <w:i w:val="0"/>
                          <w:iCs w:val="0"/>
                          <w:color w:val="auto"/>
                          <w:sz w:val="16"/>
                          <w:szCs w:val="16"/>
                        </w:rPr>
                        <w:t xml:space="preserve"> MPN/mL for PSC) summarized over all farms and sampling time points. The farthest left bin for MSC, TSC, and TSC represents the samples that have spore concentrations below detection limits. </w:t>
                      </w:r>
                    </w:p>
                    <w:p w14:paraId="55CE4B08" w14:textId="77777777" w:rsidR="00C108DD" w:rsidRDefault="00C108DD" w:rsidP="00C108DD"/>
                  </w:txbxContent>
                </v:textbox>
                <w10:wrap type="square"/>
              </v:shape>
            </w:pict>
          </mc:Fallback>
        </mc:AlternateContent>
      </w:r>
      <w:r w:rsidR="003158A9">
        <w:t>Descriptive analysis showed that the mean (</w:t>
      </w:r>
      <w:r w:rsidR="003158A9">
        <w:rPr>
          <w:rFonts w:cstheme="minorHAnsi"/>
        </w:rPr>
        <w:t xml:space="preserve">± </w:t>
      </w:r>
      <w:r w:rsidR="003158A9">
        <w:t xml:space="preserve">standard deviation) concentrations for </w:t>
      </w:r>
      <w:r w:rsidR="00C108DD">
        <w:t>aerobic plate count (</w:t>
      </w:r>
      <w:r w:rsidR="003158A9">
        <w:t>APC</w:t>
      </w:r>
      <w:r w:rsidR="00C108DD">
        <w:t>)</w:t>
      </w:r>
      <w:r w:rsidR="003158A9">
        <w:t xml:space="preserve">, </w:t>
      </w:r>
      <w:r w:rsidR="00C108DD">
        <w:t>mesophilic spore count (</w:t>
      </w:r>
      <w:r w:rsidR="003158A9">
        <w:t>MSC</w:t>
      </w:r>
      <w:r w:rsidR="00C108DD">
        <w:t>)</w:t>
      </w:r>
      <w:r w:rsidR="003158A9">
        <w:t xml:space="preserve">, </w:t>
      </w:r>
      <w:r w:rsidR="00C108DD">
        <w:t>thermophilic spore count (</w:t>
      </w:r>
      <w:r w:rsidR="003158A9">
        <w:t>TSC</w:t>
      </w:r>
      <w:r w:rsidR="00C108DD">
        <w:t>)</w:t>
      </w:r>
      <w:r w:rsidR="003158A9">
        <w:t xml:space="preserve">, and </w:t>
      </w:r>
      <w:r w:rsidR="00C108DD">
        <w:t>psychrotolerant spore count (</w:t>
      </w:r>
      <w:r w:rsidR="003158A9">
        <w:t>PSC</w:t>
      </w:r>
      <w:r w:rsidR="00C108DD">
        <w:t>)</w:t>
      </w:r>
      <w:r w:rsidR="003158A9">
        <w:t xml:space="preserve"> are 3.18 (</w:t>
      </w:r>
      <w:r w:rsidR="003158A9">
        <w:rPr>
          <w:rFonts w:cstheme="minorHAnsi"/>
        </w:rPr>
        <w:t>±</w:t>
      </w:r>
      <w:r w:rsidR="003158A9">
        <w:t>0.67), 0.77 (</w:t>
      </w:r>
      <w:r w:rsidR="003158A9">
        <w:rPr>
          <w:rFonts w:cstheme="minorHAnsi"/>
        </w:rPr>
        <w:t>±</w:t>
      </w:r>
      <w:r w:rsidR="003158A9">
        <w:t>0.69), -1.51 (</w:t>
      </w:r>
      <w:r w:rsidR="003158A9">
        <w:rPr>
          <w:rFonts w:cstheme="minorHAnsi"/>
        </w:rPr>
        <w:t>±</w:t>
      </w:r>
      <w:r w:rsidR="003158A9">
        <w:t>0.67), 0.41 (</w:t>
      </w:r>
      <w:r w:rsidR="003158A9">
        <w:rPr>
          <w:rFonts w:cstheme="minorHAnsi"/>
        </w:rPr>
        <w:t>±</w:t>
      </w:r>
      <w:r w:rsidR="003158A9">
        <w:t>0.70) log</w:t>
      </w:r>
      <w:r w:rsidR="003158A9" w:rsidRPr="003158A9">
        <w:rPr>
          <w:vertAlign w:val="subscript"/>
        </w:rPr>
        <w:t>10</w:t>
      </w:r>
      <w:r w:rsidR="003158A9">
        <w:t>CFU/mL, suggesting similar variability across all types of microbial counts between farms (</w:t>
      </w:r>
      <w:r w:rsidR="003158A9" w:rsidRPr="00DD2EE5">
        <w:rPr>
          <w:b/>
          <w:bCs/>
        </w:rPr>
        <w:t>Fig</w:t>
      </w:r>
      <w:r w:rsidR="00C108DD" w:rsidRPr="00DD2EE5">
        <w:rPr>
          <w:b/>
          <w:bCs/>
        </w:rPr>
        <w:t xml:space="preserve">ure </w:t>
      </w:r>
      <w:r w:rsidR="003158A9" w:rsidRPr="00DD2EE5">
        <w:rPr>
          <w:b/>
          <w:bCs/>
        </w:rPr>
        <w:t>1</w:t>
      </w:r>
      <w:r w:rsidR="003158A9">
        <w:t xml:space="preserve">). </w:t>
      </w:r>
      <w:r w:rsidR="00C108DD">
        <w:t xml:space="preserve">To investigate the effects of farm management and weather on the spore levels, we continued to develop three random forest models for all spore types (i.e., MSC, TSC, PSC). </w:t>
      </w:r>
      <w:r w:rsidR="00780F40">
        <w:t xml:space="preserve">Prior to the model development, principal component extraction was performed on all weather-related variables to minimize the collinearity and reduce the dimensionality </w:t>
      </w:r>
      <w:r w:rsidR="006C42EF">
        <w:t>to</w:t>
      </w:r>
      <w:r w:rsidR="00780F40">
        <w:t xml:space="preserve"> prevent model overfitting. Near-zero variance filter was applied as a regularization technique to all variables to remove highly imbalanced predictor variables. Using pre-processed data, random forest regressions were performed for log</w:t>
      </w:r>
      <w:r w:rsidR="00780F40" w:rsidRPr="00C108DD">
        <w:rPr>
          <w:vertAlign w:val="subscript"/>
        </w:rPr>
        <w:t>10</w:t>
      </w:r>
      <w:r w:rsidR="00780F40">
        <w:t>MSC and log</w:t>
      </w:r>
      <w:r w:rsidR="00780F40" w:rsidRPr="00C108DD">
        <w:rPr>
          <w:vertAlign w:val="subscript"/>
        </w:rPr>
        <w:t>10</w:t>
      </w:r>
      <w:r w:rsidR="00780F40">
        <w:t xml:space="preserve">TSC while random forest classification was performed for presence of PSC, due to a large proportion of negative results </w:t>
      </w:r>
      <w:r w:rsidR="00093C64">
        <w:t xml:space="preserve">(i.e., approximately 28%) </w:t>
      </w:r>
      <w:r w:rsidR="00780F40">
        <w:t xml:space="preserve">from Most Probable Number (MPN) for PSC. </w:t>
      </w:r>
      <w:r w:rsidR="00C108DD">
        <w:t xml:space="preserve">The results from random forest analysis showed that only a minor proportion of variance in the spore levels can be explained by the farm management and weather </w:t>
      </w:r>
      <w:r w:rsidR="00780F40">
        <w:t>variables, as indicated by the R</w:t>
      </w:r>
      <w:r w:rsidR="00780F40" w:rsidRPr="00780F40">
        <w:rPr>
          <w:vertAlign w:val="superscript"/>
        </w:rPr>
        <w:t>2</w:t>
      </w:r>
      <w:r w:rsidR="00780F40">
        <w:t xml:space="preserve"> </w:t>
      </w:r>
      <w:r w:rsidR="00093C64">
        <w:t xml:space="preserve"> and classification accuracy </w:t>
      </w:r>
      <w:r w:rsidR="00780F40">
        <w:t xml:space="preserve">from cross-validated training results. </w:t>
      </w:r>
      <w:r w:rsidR="00C4763D">
        <w:t xml:space="preserve">Specifically, random forest models for predicting </w:t>
      </w:r>
      <w:r w:rsidR="00C4763D">
        <w:t>log</w:t>
      </w:r>
      <w:r w:rsidR="00C4763D" w:rsidRPr="00C108DD">
        <w:rPr>
          <w:vertAlign w:val="subscript"/>
        </w:rPr>
        <w:t>10</w:t>
      </w:r>
      <w:r w:rsidR="00C4763D">
        <w:t>MSC and log</w:t>
      </w:r>
      <w:r w:rsidR="00C4763D" w:rsidRPr="00C108DD">
        <w:rPr>
          <w:vertAlign w:val="subscript"/>
        </w:rPr>
        <w:t>10</w:t>
      </w:r>
      <w:r w:rsidR="00C4763D">
        <w:t>TSC</w:t>
      </w:r>
      <w:r w:rsidR="00C4763D">
        <w:t xml:space="preserve"> have </w:t>
      </w:r>
      <w:r w:rsidR="00C4763D">
        <w:t>R</w:t>
      </w:r>
      <w:r w:rsidR="00C4763D" w:rsidRPr="00780F40">
        <w:rPr>
          <w:vertAlign w:val="superscript"/>
        </w:rPr>
        <w:t>2</w:t>
      </w:r>
      <w:r w:rsidR="00C4763D">
        <w:rPr>
          <w:vertAlign w:val="superscript"/>
        </w:rPr>
        <w:t xml:space="preserve"> </w:t>
      </w:r>
      <w:r w:rsidR="00C4763D">
        <w:t>of 0.21 and 0.24, respectively while the random forest model for classifying the detectable PSC has an accuracy of 0.70. Overall, these results suggest that current approach for describing farm management styles was not able to sufficiently capture the dynamics between farm practices and spore levels, and therefore incapable of predicting the spore levels for practical use. To further extrapolate</w:t>
      </w:r>
      <w:r w:rsidR="00093C64">
        <w:t xml:space="preserve"> utility from</w:t>
      </w:r>
      <w:r w:rsidR="00C4763D">
        <w:t xml:space="preserve"> the model outcome, we proceeded to construct the variable importance plots </w:t>
      </w:r>
      <w:r w:rsidR="005F147D">
        <w:t xml:space="preserve">(VIPs) </w:t>
      </w:r>
      <w:r w:rsidR="00C4763D">
        <w:t>from all three models (</w:t>
      </w:r>
      <w:r w:rsidR="00C4763D" w:rsidRPr="00C4763D">
        <w:rPr>
          <w:b/>
          <w:bCs/>
        </w:rPr>
        <w:t>Figure 2</w:t>
      </w:r>
      <w:r w:rsidR="00C4763D">
        <w:t xml:space="preserve">). </w:t>
      </w:r>
      <w:r w:rsidR="005F147D">
        <w:t xml:space="preserve">All three VIPs showed that farm size (e.g., cow number, full employee number), farm location, certification year, APC variability within a farm, and principal component 1 (i.e., highly correlated with temperature) </w:t>
      </w:r>
      <w:r w:rsidR="00093C64">
        <w:t>were</w:t>
      </w:r>
      <w:r w:rsidR="005F147D">
        <w:t xml:space="preserve"> consistently ranked high for predicting spore levels. Some practices were also shown important to spore levels. For example, </w:t>
      </w:r>
      <w:r>
        <w:t>clipping/flaming udder</w:t>
      </w:r>
      <w:r w:rsidR="005F147D">
        <w:t xml:space="preserve"> and using machine to dry towels were important for predicting log</w:t>
      </w:r>
      <w:r w:rsidR="005F147D" w:rsidRPr="005F147D">
        <w:rPr>
          <w:vertAlign w:val="subscript"/>
        </w:rPr>
        <w:t>10</w:t>
      </w:r>
      <w:r w:rsidR="005F147D">
        <w:t xml:space="preserve">MSC. </w:t>
      </w:r>
      <w:r w:rsidR="000E205C">
        <w:t xml:space="preserve">However, due to the marginal variance each predictor variable can explain, while ranked high in VIP, changes in these variables alone could not lead to substantial change in the spore levels. This was confirmed by partial </w:t>
      </w:r>
      <w:r w:rsidR="000E205C">
        <w:lastRenderedPageBreak/>
        <w:t xml:space="preserve">dependence plot (PDP). For example, </w:t>
      </w:r>
      <w:r>
        <w:t>although clipping/flaming udders is highly important for predicting log</w:t>
      </w:r>
      <w:r w:rsidRPr="00AE604B">
        <w:rPr>
          <w:vertAlign w:val="subscript"/>
        </w:rPr>
        <w:t>10</w:t>
      </w:r>
      <w:r>
        <w:t>MSC, applying this practice is expected to reduce the spore concentration by less than 0.1 log</w:t>
      </w:r>
      <w:r w:rsidRPr="00AE604B">
        <w:rPr>
          <w:vertAlign w:val="subscript"/>
        </w:rPr>
        <w:t>10</w:t>
      </w:r>
      <w:r>
        <w:t>CFU/mL (</w:t>
      </w:r>
      <w:r w:rsidRPr="00AE604B">
        <w:rPr>
          <w:b/>
          <w:bCs/>
        </w:rPr>
        <w:t>Figure 3</w:t>
      </w:r>
      <w:r>
        <w:t xml:space="preserve">). Further analysis is needed to confirm if </w:t>
      </w:r>
      <w:r w:rsidRPr="008B0874">
        <w:rPr>
          <w:rFonts w:ascii="Times New Roman" w:hAnsi="Times New Roman" w:cs="Times New Roman"/>
          <w:b/>
          <w:i/>
          <w:iCs/>
          <w:noProof/>
        </w:rPr>
        <mc:AlternateContent>
          <mc:Choice Requires="wps">
            <w:drawing>
              <wp:anchor distT="45720" distB="45720" distL="114300" distR="114300" simplePos="0" relativeHeight="251663360" behindDoc="0" locked="0" layoutInCell="1" allowOverlap="1" wp14:anchorId="3682950F" wp14:editId="48A5E40D">
                <wp:simplePos x="0" y="0"/>
                <wp:positionH relativeFrom="column">
                  <wp:posOffset>-20955</wp:posOffset>
                </wp:positionH>
                <wp:positionV relativeFrom="paragraph">
                  <wp:posOffset>669290</wp:posOffset>
                </wp:positionV>
                <wp:extent cx="3070225" cy="5226685"/>
                <wp:effectExtent l="0" t="0" r="15875" b="12065"/>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0225" cy="5226685"/>
                        </a:xfrm>
                        <a:prstGeom prst="rect">
                          <a:avLst/>
                        </a:prstGeom>
                        <a:solidFill>
                          <a:srgbClr val="FFFFFF"/>
                        </a:solidFill>
                        <a:ln w="9525">
                          <a:solidFill>
                            <a:srgbClr val="000000"/>
                          </a:solidFill>
                          <a:miter lim="800000"/>
                          <a:headEnd/>
                          <a:tailEnd/>
                        </a:ln>
                      </wps:spPr>
                      <wps:txbx>
                        <w:txbxContent>
                          <w:p w14:paraId="3490458C" w14:textId="3C0A117C" w:rsidR="005F147D" w:rsidRDefault="005F147D" w:rsidP="00C108DD">
                            <w:pPr>
                              <w:rPr>
                                <w:rFonts w:ascii="Times New Roman" w:hAnsi="Times New Roman" w:cs="Times New Roman"/>
                                <w:b/>
                                <w:bCs/>
                                <w:sz w:val="16"/>
                                <w:szCs w:val="16"/>
                              </w:rPr>
                            </w:pPr>
                            <w:r>
                              <w:rPr>
                                <w:rFonts w:ascii="Times New Roman" w:hAnsi="Times New Roman" w:cs="Times New Roman"/>
                                <w:noProof/>
                                <w:sz w:val="24"/>
                                <w:szCs w:val="24"/>
                              </w:rPr>
                              <w:drawing>
                                <wp:inline distT="0" distB="0" distL="0" distR="0" wp14:anchorId="61C604F6" wp14:editId="780127A3">
                                  <wp:extent cx="2923682" cy="4387755"/>
                                  <wp:effectExtent l="0" t="0" r="0"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a:picLocks noChangeAspect="1" noChangeArrowheads="1"/>
                                          </pic:cNvPicPr>
                                        </pic:nvPicPr>
                                        <pic:blipFill rotWithShape="1">
                                          <a:blip r:embed="rId6">
                                            <a:extLst>
                                              <a:ext uri="{28A0092B-C50C-407E-A947-70E740481C1C}">
                                                <a14:useLocalDpi xmlns:a14="http://schemas.microsoft.com/office/drawing/2010/main" val="0"/>
                                              </a:ext>
                                            </a:extLst>
                                          </a:blip>
                                          <a:srcRect r="1730" b="1677"/>
                                          <a:stretch/>
                                        </pic:blipFill>
                                        <pic:spPr bwMode="auto">
                                          <a:xfrm>
                                            <a:off x="0" y="0"/>
                                            <a:ext cx="2929525" cy="4396524"/>
                                          </a:xfrm>
                                          <a:prstGeom prst="rect">
                                            <a:avLst/>
                                          </a:prstGeom>
                                          <a:noFill/>
                                          <a:ln>
                                            <a:noFill/>
                                          </a:ln>
                                          <a:extLst>
                                            <a:ext uri="{53640926-AAD7-44D8-BBD7-CCE9431645EC}">
                                              <a14:shadowObscured xmlns:a14="http://schemas.microsoft.com/office/drawing/2010/main"/>
                                            </a:ext>
                                          </a:extLst>
                                        </pic:spPr>
                                      </pic:pic>
                                    </a:graphicData>
                                  </a:graphic>
                                </wp:inline>
                              </w:drawing>
                            </w:r>
                          </w:p>
                          <w:p w14:paraId="6AC3D1A1" w14:textId="6D5A197A" w:rsidR="00C108DD" w:rsidRDefault="00C108DD" w:rsidP="00C108DD">
                            <w:r w:rsidRPr="00C108DD">
                              <w:rPr>
                                <w:rFonts w:ascii="Times New Roman" w:hAnsi="Times New Roman" w:cs="Times New Roman"/>
                                <w:b/>
                                <w:bCs/>
                                <w:sz w:val="16"/>
                                <w:szCs w:val="16"/>
                              </w:rPr>
                              <w:t xml:space="preserve">Figure 2. </w:t>
                            </w:r>
                            <w:r w:rsidRPr="00C108DD">
                              <w:rPr>
                                <w:rFonts w:ascii="Times New Roman" w:hAnsi="Times New Roman" w:cs="Times New Roman"/>
                                <w:sz w:val="16"/>
                                <w:szCs w:val="16"/>
                              </w:rPr>
                              <w:t>Variable importance plots for cross-validated models constructed using data from all farms (A = random forest regression for log</w:t>
                            </w:r>
                            <w:r w:rsidRPr="00C4763D">
                              <w:rPr>
                                <w:rFonts w:ascii="Times New Roman" w:hAnsi="Times New Roman" w:cs="Times New Roman"/>
                                <w:sz w:val="16"/>
                                <w:szCs w:val="16"/>
                                <w:vertAlign w:val="subscript"/>
                              </w:rPr>
                              <w:t>10</w:t>
                            </w:r>
                            <w:r w:rsidRPr="00C108DD">
                              <w:rPr>
                                <w:rFonts w:ascii="Times New Roman" w:hAnsi="Times New Roman" w:cs="Times New Roman"/>
                                <w:sz w:val="16"/>
                                <w:szCs w:val="16"/>
                              </w:rPr>
                              <w:t xml:space="preserve"> concentration of MSC; B = random forest regression for log</w:t>
                            </w:r>
                            <w:r w:rsidRPr="00C4763D">
                              <w:rPr>
                                <w:rFonts w:ascii="Times New Roman" w:hAnsi="Times New Roman" w:cs="Times New Roman"/>
                                <w:sz w:val="16"/>
                                <w:szCs w:val="16"/>
                                <w:vertAlign w:val="subscript"/>
                              </w:rPr>
                              <w:t>10</w:t>
                            </w:r>
                            <w:r w:rsidRPr="00C108DD">
                              <w:rPr>
                                <w:rFonts w:ascii="Times New Roman" w:hAnsi="Times New Roman" w:cs="Times New Roman"/>
                                <w:sz w:val="16"/>
                                <w:szCs w:val="16"/>
                              </w:rPr>
                              <w:t xml:space="preserve"> concentration of TSC; C = random forest classification for presence of PSC)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82950F" id="_x0000_s1028" type="#_x0000_t202" style="position:absolute;margin-left:-1.65pt;margin-top:52.7pt;width:241.75pt;height:4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">
                <v:textbox>
                  <w:txbxContent>
                    <w:p w14:paraId="3490458C" w14:textId="3C0A117C" w:rsidR="005F147D" w:rsidRDefault="005F147D" w:rsidP="00C108DD">
                      <w:pPr>
                        <w:rPr>
                          <w:rFonts w:ascii="Times New Roman" w:hAnsi="Times New Roman" w:cs="Times New Roman"/>
                          <w:b/>
                          <w:bCs/>
                          <w:sz w:val="16"/>
                          <w:szCs w:val="16"/>
                        </w:rPr>
                      </w:pPr>
                      <w:r>
                        <w:rPr>
                          <w:rFonts w:ascii="Times New Roman" w:hAnsi="Times New Roman" w:cs="Times New Roman"/>
                          <w:noProof/>
                          <w:sz w:val="24"/>
                          <w:szCs w:val="24"/>
                        </w:rPr>
                        <w:drawing>
                          <wp:inline distT="0" distB="0" distL="0" distR="0" wp14:anchorId="61C604F6" wp14:editId="780127A3">
                            <wp:extent cx="2923682" cy="4387755"/>
                            <wp:effectExtent l="0" t="0" r="0"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a:picLocks noChangeAspect="1" noChangeArrowheads="1"/>
                                    </pic:cNvPicPr>
                                  </pic:nvPicPr>
                                  <pic:blipFill rotWithShape="1">
                                    <a:blip r:embed="rId6">
                                      <a:extLst>
                                        <a:ext uri="{28A0092B-C50C-407E-A947-70E740481C1C}">
                                          <a14:useLocalDpi xmlns:a14="http://schemas.microsoft.com/office/drawing/2010/main" val="0"/>
                                        </a:ext>
                                      </a:extLst>
                                    </a:blip>
                                    <a:srcRect r="1730" b="1677"/>
                                    <a:stretch/>
                                  </pic:blipFill>
                                  <pic:spPr bwMode="auto">
                                    <a:xfrm>
                                      <a:off x="0" y="0"/>
                                      <a:ext cx="2929525" cy="4396524"/>
                                    </a:xfrm>
                                    <a:prstGeom prst="rect">
                                      <a:avLst/>
                                    </a:prstGeom>
                                    <a:noFill/>
                                    <a:ln>
                                      <a:noFill/>
                                    </a:ln>
                                    <a:extLst>
                                      <a:ext uri="{53640926-AAD7-44D8-BBD7-CCE9431645EC}">
                                        <a14:shadowObscured xmlns:a14="http://schemas.microsoft.com/office/drawing/2010/main"/>
                                      </a:ext>
                                    </a:extLst>
                                  </pic:spPr>
                                </pic:pic>
                              </a:graphicData>
                            </a:graphic>
                          </wp:inline>
                        </w:drawing>
                      </w:r>
                    </w:p>
                    <w:p w14:paraId="6AC3D1A1" w14:textId="6D5A197A" w:rsidR="00C108DD" w:rsidRDefault="00C108DD" w:rsidP="00C108DD">
                      <w:r w:rsidRPr="00C108DD">
                        <w:rPr>
                          <w:rFonts w:ascii="Times New Roman" w:hAnsi="Times New Roman" w:cs="Times New Roman"/>
                          <w:b/>
                          <w:bCs/>
                          <w:sz w:val="16"/>
                          <w:szCs w:val="16"/>
                        </w:rPr>
                        <w:t xml:space="preserve">Figure 2. </w:t>
                      </w:r>
                      <w:r w:rsidRPr="00C108DD">
                        <w:rPr>
                          <w:rFonts w:ascii="Times New Roman" w:hAnsi="Times New Roman" w:cs="Times New Roman"/>
                          <w:sz w:val="16"/>
                          <w:szCs w:val="16"/>
                        </w:rPr>
                        <w:t>Variable importance plots for cross-validated models constructed using data from all farms (A = random forest regression for log</w:t>
                      </w:r>
                      <w:r w:rsidRPr="00C4763D">
                        <w:rPr>
                          <w:rFonts w:ascii="Times New Roman" w:hAnsi="Times New Roman" w:cs="Times New Roman"/>
                          <w:sz w:val="16"/>
                          <w:szCs w:val="16"/>
                          <w:vertAlign w:val="subscript"/>
                        </w:rPr>
                        <w:t>10</w:t>
                      </w:r>
                      <w:r w:rsidRPr="00C108DD">
                        <w:rPr>
                          <w:rFonts w:ascii="Times New Roman" w:hAnsi="Times New Roman" w:cs="Times New Roman"/>
                          <w:sz w:val="16"/>
                          <w:szCs w:val="16"/>
                        </w:rPr>
                        <w:t xml:space="preserve"> concentration of MSC; B = random forest regression for log</w:t>
                      </w:r>
                      <w:r w:rsidRPr="00C4763D">
                        <w:rPr>
                          <w:rFonts w:ascii="Times New Roman" w:hAnsi="Times New Roman" w:cs="Times New Roman"/>
                          <w:sz w:val="16"/>
                          <w:szCs w:val="16"/>
                          <w:vertAlign w:val="subscript"/>
                        </w:rPr>
                        <w:t>10</w:t>
                      </w:r>
                      <w:r w:rsidRPr="00C108DD">
                        <w:rPr>
                          <w:rFonts w:ascii="Times New Roman" w:hAnsi="Times New Roman" w:cs="Times New Roman"/>
                          <w:sz w:val="16"/>
                          <w:szCs w:val="16"/>
                        </w:rPr>
                        <w:t xml:space="preserve"> concentration of TSC; C = random forest classification for presence of PSC)</w:t>
                      </w:r>
                    </w:p>
                  </w:txbxContent>
                </v:textbox>
                <w10:wrap type="square"/>
              </v:shape>
            </w:pict>
          </mc:Fallback>
        </mc:AlternateContent>
      </w:r>
      <w:r>
        <w:t>any interactions between two variables will lead to a larger impact.</w:t>
      </w:r>
    </w:p>
    <w:p w14:paraId="342A8A61" w14:textId="5C586F0A" w:rsidR="003158A9" w:rsidRDefault="003158A9"/>
    <w:p w14:paraId="13CFD4E2" w14:textId="6EF4B7A0" w:rsidR="003158A9" w:rsidRPr="003158A9" w:rsidRDefault="003158A9" w:rsidP="003158A9"/>
    <w:p w14:paraId="0DA7078E" w14:textId="484D7221" w:rsidR="003158A9" w:rsidRPr="003158A9" w:rsidRDefault="003158A9" w:rsidP="003158A9"/>
    <w:p w14:paraId="42608C57" w14:textId="4F7FF38D" w:rsidR="003158A9" w:rsidRPr="003158A9" w:rsidRDefault="003158A9" w:rsidP="003158A9"/>
    <w:p w14:paraId="228CBF2B" w14:textId="3DDE0E5B" w:rsidR="003158A9" w:rsidRDefault="003158A9" w:rsidP="003158A9"/>
    <w:p w14:paraId="55E4F7C6" w14:textId="55EA62EA" w:rsidR="003158A9" w:rsidRPr="003158A9" w:rsidRDefault="003158A9" w:rsidP="003158A9">
      <w:pPr>
        <w:tabs>
          <w:tab w:val="left" w:pos="7909"/>
        </w:tabs>
      </w:pPr>
      <w:r>
        <w:tab/>
      </w:r>
    </w:p>
    <w:sectPr w:rsidR="003158A9" w:rsidRPr="003158A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3A72"/>
    <w:rsid w:val="00093C64"/>
    <w:rsid w:val="000E205C"/>
    <w:rsid w:val="003158A9"/>
    <w:rsid w:val="00422661"/>
    <w:rsid w:val="00523A72"/>
    <w:rsid w:val="005F147D"/>
    <w:rsid w:val="006C42EF"/>
    <w:rsid w:val="00780F40"/>
    <w:rsid w:val="00AE604B"/>
    <w:rsid w:val="00C108DD"/>
    <w:rsid w:val="00C4763D"/>
    <w:rsid w:val="00D3420E"/>
    <w:rsid w:val="00DD2E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F4D32"/>
  <w15:chartTrackingRefBased/>
  <w15:docId w15:val="{F468626F-1AA8-4F6F-8D21-766F1D2BE9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C108D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5" Type="http://schemas.openxmlformats.org/officeDocument/2006/relationships/image" Target="media/image2.tiff"/><Relationship Id="rId4"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208</TotalTime>
  <Pages>2</Pages>
  <Words>454</Words>
  <Characters>2594</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Qian</dc:creator>
  <cp:keywords/>
  <dc:description/>
  <cp:lastModifiedBy>Luke Qian</cp:lastModifiedBy>
  <cp:revision>8</cp:revision>
  <dcterms:created xsi:type="dcterms:W3CDTF">2023-03-31T15:13:00Z</dcterms:created>
  <dcterms:modified xsi:type="dcterms:W3CDTF">2023-03-31T18:59:00Z</dcterms:modified>
</cp:coreProperties>
</file>